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D8A25" w14:textId="77777777" w:rsidR="00C95B0E" w:rsidRDefault="00C95B0E" w:rsidP="00C95B0E">
      <w:pPr>
        <w:spacing w:line="280" w:lineRule="exact"/>
        <w:rPr>
          <w:sz w:val="32"/>
          <w:szCs w:val="32"/>
        </w:rPr>
      </w:pPr>
    </w:p>
    <w:p w14:paraId="3C897A2B" w14:textId="2EAC9D67" w:rsidR="00C95B0E" w:rsidRDefault="00C95B0E" w:rsidP="00C95B0E">
      <w:pPr>
        <w:rPr>
          <w:sz w:val="32"/>
          <w:szCs w:val="32"/>
        </w:rPr>
      </w:pPr>
      <w:r>
        <w:rPr>
          <w:sz w:val="32"/>
          <w:szCs w:val="32"/>
        </w:rPr>
        <w:t xml:space="preserve"> Об  исполнени</w:t>
      </w:r>
      <w:r w:rsidR="002D081E">
        <w:rPr>
          <w:sz w:val="32"/>
          <w:szCs w:val="32"/>
        </w:rPr>
        <w:t>и</w:t>
      </w:r>
      <w:r>
        <w:rPr>
          <w:sz w:val="32"/>
          <w:szCs w:val="32"/>
        </w:rPr>
        <w:t xml:space="preserve"> бюджета</w:t>
      </w:r>
    </w:p>
    <w:p w14:paraId="0120A8EE" w14:textId="77777777" w:rsidR="00C95B0E" w:rsidRDefault="00C95B0E" w:rsidP="00C95B0E">
      <w:pPr>
        <w:rPr>
          <w:sz w:val="32"/>
          <w:szCs w:val="32"/>
        </w:rPr>
      </w:pPr>
      <w:r>
        <w:rPr>
          <w:sz w:val="32"/>
          <w:szCs w:val="32"/>
        </w:rPr>
        <w:t xml:space="preserve"> Лельчицкого района за 2025 год</w:t>
      </w:r>
    </w:p>
    <w:p w14:paraId="5CFD55C0" w14:textId="77777777" w:rsidR="00C95B0E" w:rsidRDefault="00C95B0E" w:rsidP="00C95B0E">
      <w:pPr>
        <w:shd w:val="clear" w:color="auto" w:fill="FFFFFF"/>
        <w:jc w:val="both"/>
        <w:rPr>
          <w:sz w:val="32"/>
          <w:szCs w:val="32"/>
          <w:highlight w:val="yellow"/>
        </w:rPr>
      </w:pPr>
    </w:p>
    <w:p w14:paraId="1FB27965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На территории Лельчицкого района за 2025 года мобилизовано 41 977 893,04 руб. налогов, сборов и пошлин, из которых 6 504 567,70 руб. или 15,5 % общей суммы поступлений поступили в республиканский бюджет, в областной бюджет – 6 084 098,20 руб. или 14,5 %, в районный бюджет – 28 496 158,66 руб. или 67,9 %, в сельские бюджеты – 893 068,48 руб. или 2,1 %.</w:t>
      </w:r>
    </w:p>
    <w:p w14:paraId="1CE7D9DB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Фактические поступления собственных доходов Лельчицкого района в январе–декабре 2025 года увеличились по сравнению с январем-декабрем 2024 года на 4 027 316,79 руб. или на 15,9 % (2024 год – 25 361 910,35 руб.) и составили 29 389 227,14 руб. </w:t>
      </w:r>
    </w:p>
    <w:p w14:paraId="059D68F3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Годовой уточненный плана доходов выполнен на 100,2 %, первоначально утвержденный план на 108,1 %.</w:t>
      </w:r>
    </w:p>
    <w:p w14:paraId="02CFE336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Собственная доходная часть бюджета района на 89,9 % сформирована за счет налоговых доходов и на 10,1 % за счет неналоговых платежей.</w:t>
      </w:r>
    </w:p>
    <w:p w14:paraId="7C4C332E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 разрезе доходных источников уточненные плановые показатели консолидированного бюджета района исполнены по всем позициям.</w:t>
      </w:r>
    </w:p>
    <w:p w14:paraId="12545E22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За 2025 год собственная доходная база бюджета района на 82,1 % сформирована за счет поступлений основных доходных источников: подоходного налога (52,3 %), налога на добавленную стоимость (21,6 %), налогов на собственность (8,2 %).</w:t>
      </w:r>
    </w:p>
    <w:p w14:paraId="49ABF07A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Главным источником по-прежнему является подоходный налог с физических лиц, который за указанный период обеспечил более половины (52,3 %) поступлений собственных доходов и 13,3 % от всех поступлений. Поступления подоходного налога с физических лиц по сравнению с прошлым годом увеличились на 2 742 979,71 руб., или на 21,7 %, и составили 15 371 390,47 руб. </w:t>
      </w:r>
    </w:p>
    <w:p w14:paraId="64356603" w14:textId="77777777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Вторым по значимости источником выступает налог на добавленную стоимость, на долю которого приходится 21,6 % собственных доходов. В нынешнем периоде сохраняется положительная динамика поступления данного налога. За отчетный период поступило 6 344 141,24 руб. налога на добавленную стоимость (100,6 % годового плана), что на 737 502,89 руб., или на 13,2 % больше, чем за аналогичный период прошлого года.</w:t>
      </w:r>
    </w:p>
    <w:p w14:paraId="4B341564" w14:textId="77777777" w:rsidR="00C95B0E" w:rsidRDefault="00C95B0E" w:rsidP="00895469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Налоги на собственность за 2025 год пополнили бюджет района на 2 408 213,46 руб., удельный вес которых в общем объеме собственных доходов бюджета составил 8,2 %. По отношению к </w:t>
      </w:r>
    </w:p>
    <w:p w14:paraId="6F977E4B" w14:textId="28257BE4" w:rsidR="00C95B0E" w:rsidRDefault="00C95B0E" w:rsidP="00895469">
      <w:pPr>
        <w:shd w:val="clear" w:color="auto" w:fill="FFFFFF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соответствующему периоду 2024 года поступления налогов снизилось на 84 376,05 руб.  </w:t>
      </w:r>
    </w:p>
    <w:p w14:paraId="21D4F118" w14:textId="632AAAFB" w:rsidR="00C95B0E" w:rsidRDefault="00C95B0E" w:rsidP="00C95B0E">
      <w:pPr>
        <w:shd w:val="clear" w:color="auto" w:fill="FFFFFF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За</w:t>
      </w:r>
      <w:r w:rsidR="00FA3F0B">
        <w:rPr>
          <w:sz w:val="32"/>
          <w:szCs w:val="32"/>
        </w:rPr>
        <w:t xml:space="preserve"> счет</w:t>
      </w:r>
      <w:r>
        <w:rPr>
          <w:sz w:val="32"/>
          <w:szCs w:val="32"/>
        </w:rPr>
        <w:t xml:space="preserve"> увеличения ставок земельного налога и налога на недвижимость в бюджет района поступило 925 812,82 руб. или 3,2 % от объема собственных доходов.</w:t>
      </w:r>
    </w:p>
    <w:p w14:paraId="0131E44A" w14:textId="77777777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Высокую динамику в 2025 году демонстрируют неналоговые доходы. </w:t>
      </w:r>
    </w:p>
    <w:p w14:paraId="720F91B1" w14:textId="7051D99C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Поступило всего неналоговых доходов 2 963 969,13 руб. </w:t>
      </w:r>
    </w:p>
    <w:p w14:paraId="5A5536F3" w14:textId="0F162312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 сравнению с 2024 годом рост обеспечен на 470 552,96 руб., или на 18,9 %. </w:t>
      </w:r>
    </w:p>
    <w:p w14:paraId="1229F334" w14:textId="77777777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Данный рост обеспечен, в основном, за счет поступлений процентов за пользование денежными средствами бюджетов (+27 293,26 руб.), компенсаций расходов государства (+308 450,41 руб.), добровольных взносов (перечислений) (+95 386,86 руб.).</w:t>
      </w:r>
    </w:p>
    <w:p w14:paraId="6E63CD15" w14:textId="77777777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 районе продолжает улучшаться ситуация по развитию рекламного рынка и, соответственно, поступление платы в соответствии с договором на размещение средств наружной рекламы. В январе–декабре 2025 года за счет данного платежа бюджет района пополнился на 34 332,43 руб., что на 14 028,22 руб. выше поступлений января-декабря 2024 года. Основная причина – это увеличение количества плательщиков (в августе месяце заключены договора с 7 новыми плательщиками).</w:t>
      </w:r>
    </w:p>
    <w:p w14:paraId="05BF8B81" w14:textId="77777777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Негативное влияние на исполнение доходной части бюджета оказывает недоимка по платежам в бюджет. По состоянию на 1 января 2026 г. задолженность во все уровни бюджетов составила 1 067 889,72 руб. и увеличилась по сравнению с началом 2025 года на 65 116,24 руб. (задолженность на 01.01.2025 – 1 002 773,48 руб.).</w:t>
      </w:r>
    </w:p>
    <w:p w14:paraId="27EE5357" w14:textId="5B401933" w:rsidR="00C95B0E" w:rsidRDefault="00C95B0E" w:rsidP="008A1A7C">
      <w:pPr>
        <w:jc w:val="both"/>
        <w:rPr>
          <w:rFonts w:eastAsia="Calibri"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FAA61E9" wp14:editId="009D7E56">
            <wp:simplePos x="0" y="0"/>
            <wp:positionH relativeFrom="column">
              <wp:posOffset>-3810</wp:posOffset>
            </wp:positionH>
            <wp:positionV relativeFrom="paragraph">
              <wp:posOffset>149860</wp:posOffset>
            </wp:positionV>
            <wp:extent cx="3359150" cy="1971040"/>
            <wp:effectExtent l="0" t="0" r="0" b="0"/>
            <wp:wrapThrough wrapText="bothSides">
              <wp:wrapPolygon edited="0">
                <wp:start x="0" y="0"/>
                <wp:lineTo x="0" y="21294"/>
                <wp:lineTo x="21437" y="21294"/>
                <wp:lineTo x="21437" y="0"/>
                <wp:lineTo x="0" y="0"/>
              </wp:wrapPolygon>
            </wp:wrapThrough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/>
          <w:sz w:val="32"/>
          <w:szCs w:val="32"/>
        </w:rPr>
        <w:t>Вызывает озабоченность задолженность в бюджет по предприятиям агропромышленного комплекса, которая составляет 96,2 % всей задолженности, в том числе:</w:t>
      </w:r>
    </w:p>
    <w:p w14:paraId="7CFFF097" w14:textId="77777777" w:rsidR="00C95B0E" w:rsidRDefault="00C95B0E" w:rsidP="00C95B0E">
      <w:pPr>
        <w:ind w:firstLine="708"/>
        <w:jc w:val="both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ОАО «Лельчицкий агросервис» в сумме 634,1 тыс. руб. (НДС – 357,8 тыс. руб., земельный налог – 60,6 тыс. руб., налог на недвижимость – 42,8 тыс. руб., единый налог для </w:t>
      </w:r>
      <w:r>
        <w:rPr>
          <w:rFonts w:eastAsia="Calibri"/>
          <w:sz w:val="32"/>
          <w:szCs w:val="32"/>
        </w:rPr>
        <w:lastRenderedPageBreak/>
        <w:t>производителей сельскохозяйственной продукции 72,9 тыс. руб., доходы от перечисления части прибыли унитарных предприятий, государственных объединений – 22,0 тыс. руб.) и увеличилась к задолженности на 01.01.2025 на 111,2 тыс. руб.;</w:t>
      </w:r>
    </w:p>
    <w:p w14:paraId="01BDD5B5" w14:textId="77777777" w:rsidR="00C95B0E" w:rsidRDefault="00C95B0E" w:rsidP="00C95B0E">
      <w:pPr>
        <w:ind w:firstLine="708"/>
        <w:jc w:val="both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ОАО «Звезда Полесья»» в сумме 171,1 тыс. руб. (НДС – 137,8 тыс. руб., единый налог для производителей сельскохозяйственной продукции 18,3 тыс. руб., доходы от перечисления части прибыли унитарных предприятий, государственных объединений – 15,0 тыс. руб.) и увеличилась к задолженности на 01.01.2025 на 75,1 тыс. руб.;</w:t>
      </w:r>
    </w:p>
    <w:p w14:paraId="6ABC362D" w14:textId="77777777" w:rsidR="00C95B0E" w:rsidRDefault="00C95B0E" w:rsidP="00C95B0E">
      <w:pPr>
        <w:ind w:firstLine="708"/>
        <w:jc w:val="both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ОАО «Путь Ильича» в сумме 93,4 тыс. руб. (НДС – 58,2 тыс. руб., единый налог для производителей сельскохозяйственной продукции 22,6 тыс. руб., доходы от перечисления части прибыли унитарных предприятий, государственных объединений – 12,1 тыс. руб.) и увеличилась к задолженности на 01.01.2025 на 93,4 тыс. руб.;</w:t>
      </w:r>
    </w:p>
    <w:p w14:paraId="517749BF" w14:textId="77777777" w:rsidR="00C95B0E" w:rsidRDefault="00C95B0E" w:rsidP="00C95B0E">
      <w:pPr>
        <w:ind w:firstLine="708"/>
        <w:jc w:val="both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КСУП «Ударный» в сумме 129,0 тыс. руб. (НДС – 40,6 тыс. руб., единый налог для производителей сельскохозяйственной продукции 4,2 тыс. руб., доходы от перечисления части прибыли унитарных предприятий, государственных объединений – 62,3 тыс. руб.) и уменьшилась к задолженности на 01.01.2025 на 66,6 тыс. руб.</w:t>
      </w:r>
    </w:p>
    <w:p w14:paraId="6854F65B" w14:textId="77777777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 формировании доходной части бюджета района значительную долю составляют безвозмездные поступления, которые позволяют обеспечить сбалансированность бюджета.</w:t>
      </w:r>
    </w:p>
    <w:p w14:paraId="1E7BF653" w14:textId="19CB5D96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Безвозмездные поступления из вышестоящих бюджетов составляют 86 465 120,65 руб. </w:t>
      </w:r>
      <w:bookmarkStart w:id="0" w:name="_GoBack"/>
      <w:bookmarkEnd w:id="0"/>
      <w:r>
        <w:rPr>
          <w:sz w:val="32"/>
          <w:szCs w:val="32"/>
        </w:rPr>
        <w:t>или 74,6 % всех доходов бюджета района (годовой план 86 795 498,75 руб.).</w:t>
      </w:r>
    </w:p>
    <w:p w14:paraId="2DF49D72" w14:textId="678589D2" w:rsidR="00C95B0E" w:rsidRDefault="00C95B0E" w:rsidP="008A1A7C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991EE1" wp14:editId="4BE33C1A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3101567" cy="1743075"/>
            <wp:effectExtent l="0" t="0" r="3810" b="0"/>
            <wp:wrapThrough wrapText="bothSides">
              <wp:wrapPolygon edited="0">
                <wp:start x="0" y="0"/>
                <wp:lineTo x="0" y="21246"/>
                <wp:lineTo x="21494" y="21246"/>
                <wp:lineTo x="21494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567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>Всего поступило доходов в бюджет района за 2025 год 115 854 347,79 руб. при плане 116 121 936,80 руб.</w:t>
      </w:r>
    </w:p>
    <w:p w14:paraId="279C4D64" w14:textId="77777777" w:rsidR="008A1A7C" w:rsidRDefault="008A1A7C" w:rsidP="00C95B0E">
      <w:pPr>
        <w:ind w:firstLine="708"/>
        <w:jc w:val="both"/>
        <w:rPr>
          <w:sz w:val="32"/>
          <w:szCs w:val="32"/>
        </w:rPr>
      </w:pPr>
    </w:p>
    <w:p w14:paraId="021ED481" w14:textId="77777777" w:rsidR="008A1A7C" w:rsidRDefault="008A1A7C" w:rsidP="00C95B0E">
      <w:pPr>
        <w:ind w:firstLine="708"/>
        <w:jc w:val="both"/>
        <w:rPr>
          <w:sz w:val="32"/>
          <w:szCs w:val="32"/>
        </w:rPr>
      </w:pPr>
    </w:p>
    <w:p w14:paraId="4DAE2DE9" w14:textId="77777777" w:rsidR="008A1A7C" w:rsidRDefault="008A1A7C" w:rsidP="00C95B0E">
      <w:pPr>
        <w:ind w:firstLine="708"/>
        <w:jc w:val="both"/>
        <w:rPr>
          <w:sz w:val="32"/>
          <w:szCs w:val="32"/>
        </w:rPr>
      </w:pPr>
    </w:p>
    <w:p w14:paraId="1C48DC4F" w14:textId="73CAFF39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Расходы консолидированного бюджета района произведены в пределах поступивших в бюджет доходов, средств областного бюджета, источников финансирования и составили</w:t>
      </w:r>
      <w:r>
        <w:rPr>
          <w:color w:val="FF0000"/>
          <w:sz w:val="32"/>
          <w:szCs w:val="32"/>
        </w:rPr>
        <w:t xml:space="preserve"> </w:t>
      </w:r>
      <w:r>
        <w:rPr>
          <w:sz w:val="32"/>
          <w:szCs w:val="32"/>
        </w:rPr>
        <w:t>116 377 064,69 руб. или 99,5 % годового плана.</w:t>
      </w:r>
    </w:p>
    <w:p w14:paraId="32387786" w14:textId="77777777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течении года принимались необходимые меры финансового регулирования, в результате которых обеспечена своевременная и в полном объеме выплата заработной платы и отпускных работникам </w:t>
      </w:r>
      <w:r>
        <w:rPr>
          <w:sz w:val="32"/>
          <w:szCs w:val="32"/>
        </w:rPr>
        <w:lastRenderedPageBreak/>
        <w:t xml:space="preserve">бюджетной сферы, адресной социальной помощи и других трансфертов населению. </w:t>
      </w:r>
    </w:p>
    <w:p w14:paraId="3B4E2BB1" w14:textId="77777777" w:rsidR="00C95B0E" w:rsidRDefault="00C95B0E" w:rsidP="00C95B0E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4575870" wp14:editId="05E8BD72">
            <wp:extent cx="6096000" cy="24669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F013D" w14:textId="77777777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Традиционно бюджет сохранил социальную направленность.</w:t>
      </w:r>
    </w:p>
    <w:p w14:paraId="2C0F5621" w14:textId="77777777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Расходы на социальную сферу составили 78 219 137,75 руб. или 67,2 % от общей суммы расходов.</w:t>
      </w:r>
    </w:p>
    <w:p w14:paraId="29311CFC" w14:textId="56FA8318" w:rsidR="00C95B0E" w:rsidRDefault="00C95B0E" w:rsidP="008A1A7C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CB88273" wp14:editId="440034E8">
            <wp:simplePos x="0" y="0"/>
            <wp:positionH relativeFrom="column">
              <wp:posOffset>2739390</wp:posOffset>
            </wp:positionH>
            <wp:positionV relativeFrom="paragraph">
              <wp:posOffset>0</wp:posOffset>
            </wp:positionV>
            <wp:extent cx="3192199" cy="2105025"/>
            <wp:effectExtent l="0" t="0" r="8255" b="0"/>
            <wp:wrapThrough wrapText="bothSides">
              <wp:wrapPolygon edited="0">
                <wp:start x="0" y="0"/>
                <wp:lineTo x="0" y="21307"/>
                <wp:lineTo x="21527" y="21307"/>
                <wp:lineTo x="21527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99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>Наибольший удельный вес в отчетном периоде занимают расходы на содержание отрасли «Образование» 36,9 % и отрасли «Здравоохранение» 18,5 %.</w:t>
      </w:r>
    </w:p>
    <w:p w14:paraId="5C31A56B" w14:textId="20F312D2" w:rsidR="00C95B0E" w:rsidRDefault="00C95B0E" w:rsidP="008A1A7C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Следует отметить, что рост расходов в 2025 году связан с подготовкой и проведением областного праздника тружеников села «Дожинки-2025» в </w:t>
      </w:r>
      <w:proofErr w:type="spellStart"/>
      <w:r>
        <w:rPr>
          <w:sz w:val="32"/>
          <w:szCs w:val="32"/>
        </w:rPr>
        <w:t>г.п.Лельчицы</w:t>
      </w:r>
      <w:proofErr w:type="spellEnd"/>
      <w:r>
        <w:rPr>
          <w:sz w:val="32"/>
          <w:szCs w:val="32"/>
        </w:rPr>
        <w:t xml:space="preserve">. Средства областного бюджета направлены на благоустройство </w:t>
      </w:r>
      <w:proofErr w:type="spellStart"/>
      <w:r>
        <w:rPr>
          <w:sz w:val="32"/>
          <w:szCs w:val="32"/>
        </w:rPr>
        <w:t>г.п.Лельчиц</w:t>
      </w:r>
      <w:r w:rsidR="00267EBC">
        <w:rPr>
          <w:sz w:val="32"/>
          <w:szCs w:val="32"/>
        </w:rPr>
        <w:t>ы</w:t>
      </w:r>
      <w:proofErr w:type="spellEnd"/>
      <w:r>
        <w:rPr>
          <w:sz w:val="32"/>
          <w:szCs w:val="32"/>
        </w:rPr>
        <w:t xml:space="preserve">, модернизацию административных зданий, реконструкцию наружного освещения, возведение спортивно-развлекательной площадки и др. </w:t>
      </w:r>
    </w:p>
    <w:p w14:paraId="77A3EAB6" w14:textId="77777777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По учреждениям социальной сферы по итогам работы за 2025 год поступление доходов от внебюджетной деятельности составило 1 191 622,27 руб. или 100,3 % от годового плана.</w:t>
      </w:r>
    </w:p>
    <w:p w14:paraId="66703715" w14:textId="07216732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7,2 % расходов бюджета приходится на отрасли национальной экономике или 8 431 921,80 руб., в том числе на финансирование сельского хозяйства, рыбохозяйственной деятельности направлено 7 619 399,79 руб. или 90,4 % всех расходов национальной экономики.</w:t>
      </w:r>
    </w:p>
    <w:p w14:paraId="05CF187E" w14:textId="74EB405C" w:rsidR="00895469" w:rsidRDefault="00895469" w:rsidP="00C95B0E">
      <w:pPr>
        <w:ind w:firstLine="709"/>
        <w:jc w:val="both"/>
        <w:rPr>
          <w:sz w:val="32"/>
          <w:szCs w:val="32"/>
        </w:rPr>
      </w:pPr>
    </w:p>
    <w:p w14:paraId="0010F82C" w14:textId="260D4F15" w:rsidR="00895469" w:rsidRDefault="00895469" w:rsidP="00C95B0E">
      <w:pPr>
        <w:ind w:firstLine="709"/>
        <w:jc w:val="both"/>
        <w:rPr>
          <w:sz w:val="32"/>
          <w:szCs w:val="32"/>
        </w:rPr>
      </w:pPr>
    </w:p>
    <w:p w14:paraId="679F9AB7" w14:textId="70FF4DE5" w:rsidR="00895469" w:rsidRDefault="00895469" w:rsidP="00C95B0E">
      <w:pPr>
        <w:ind w:firstLine="709"/>
        <w:jc w:val="both"/>
        <w:rPr>
          <w:sz w:val="32"/>
          <w:szCs w:val="32"/>
        </w:rPr>
      </w:pPr>
    </w:p>
    <w:p w14:paraId="0D5C4E38" w14:textId="29316FEB" w:rsidR="00895469" w:rsidRDefault="00895469" w:rsidP="00C95B0E">
      <w:pPr>
        <w:ind w:firstLine="709"/>
        <w:jc w:val="both"/>
        <w:rPr>
          <w:sz w:val="32"/>
          <w:szCs w:val="32"/>
        </w:rPr>
      </w:pPr>
    </w:p>
    <w:p w14:paraId="689F5F56" w14:textId="77777777" w:rsidR="00895469" w:rsidRDefault="00895469" w:rsidP="00C95B0E">
      <w:pPr>
        <w:ind w:firstLine="709"/>
        <w:jc w:val="both"/>
        <w:rPr>
          <w:sz w:val="32"/>
          <w:szCs w:val="32"/>
        </w:rPr>
      </w:pPr>
    </w:p>
    <w:p w14:paraId="254F9C47" w14:textId="7A5F3660" w:rsidR="00C95B0E" w:rsidRDefault="00C95B0E" w:rsidP="00895469">
      <w:pPr>
        <w:jc w:val="both"/>
        <w:rPr>
          <w:bCs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EA0B6B9" wp14:editId="4076545B">
            <wp:simplePos x="0" y="0"/>
            <wp:positionH relativeFrom="column">
              <wp:posOffset>-108585</wp:posOffset>
            </wp:positionH>
            <wp:positionV relativeFrom="paragraph">
              <wp:posOffset>45</wp:posOffset>
            </wp:positionV>
            <wp:extent cx="2999105" cy="2052632"/>
            <wp:effectExtent l="0" t="0" r="0" b="5080"/>
            <wp:wrapThrough wrapText="bothSides">
              <wp:wrapPolygon edited="0">
                <wp:start x="0" y="0"/>
                <wp:lineTo x="0" y="21453"/>
                <wp:lineTo x="21403" y="21453"/>
                <wp:lineTo x="21403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66" cy="205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 xml:space="preserve">Финансирование отрасли «Сельское хозяйство, рыбохозяйственная деятельность» осуществляется путем реализации мероприятий по выполнению </w:t>
      </w:r>
      <w:r>
        <w:rPr>
          <w:bCs/>
          <w:sz w:val="32"/>
          <w:szCs w:val="32"/>
        </w:rPr>
        <w:t>Государственной программы развития аграрного бизнеса в Республике Беларусь на 2021–2025 годы (заказчик – управление сельского хозяйства и продовольствия райисполкома)</w:t>
      </w:r>
      <w:r>
        <w:rPr>
          <w:sz w:val="32"/>
          <w:szCs w:val="32"/>
        </w:rPr>
        <w:t xml:space="preserve">, а также выполняя комплекс мероприятий </w:t>
      </w:r>
      <w:r>
        <w:rPr>
          <w:bCs/>
          <w:sz w:val="32"/>
          <w:szCs w:val="32"/>
        </w:rPr>
        <w:t>Государственной программы по преодолению последствий катастрофы на Чернобыльской АЭС на 2021–2025 годы (заказчик – райисполком).</w:t>
      </w:r>
    </w:p>
    <w:p w14:paraId="7A2B1074" w14:textId="77777777" w:rsidR="00C95B0E" w:rsidRDefault="00C95B0E" w:rsidP="00C95B0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Освоение выделенных бюджетных средств по вышеуказанным программам составляет 99,9 % годового плана.</w:t>
      </w:r>
    </w:p>
    <w:p w14:paraId="612328FA" w14:textId="4E713C30" w:rsidR="00C95B0E" w:rsidRDefault="00C95B0E" w:rsidP="00C95B0E">
      <w:pPr>
        <w:ind w:firstLine="708"/>
        <w:jc w:val="both"/>
        <w:rPr>
          <w:sz w:val="32"/>
          <w:szCs w:val="32"/>
        </w:rPr>
      </w:pPr>
      <w:bookmarkStart w:id="1" w:name="_Hlk220597098"/>
      <w:r>
        <w:rPr>
          <w:sz w:val="32"/>
          <w:szCs w:val="32"/>
        </w:rPr>
        <w:t>На финансирование отрасли «Жилищно-коммунальные услуги и жилищное строительство» в бюджете района предусмотрены ассигнования в сумме 15 708 138,16 руб., что составляет 13,4 % объема расходов бюджета района. Исполнено по итогам года 15 348 563,07 руб. или 97,7 % годового объема.</w:t>
      </w:r>
    </w:p>
    <w:p w14:paraId="1CE7DBF5" w14:textId="77777777" w:rsidR="00C95B0E" w:rsidRDefault="00C95B0E" w:rsidP="00C95B0E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015F263" wp14:editId="25009768">
            <wp:extent cx="6096000" cy="27241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05EE1761" w14:textId="77777777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 структуре отраслевых расходов жилищно-коммунальное хозяйство занимает 26,6 % (4 083 934,86 руб.), благоустройство населенных пунктов 72,5 % (11 128 509,23 руб.), другие вопросы в области жилищно-коммунальных услуг 0,8 % (121 853,48 руб.), жилищное строительство 0,1 % (14 265,50 руб.).</w:t>
      </w:r>
    </w:p>
    <w:p w14:paraId="1A03A1C2" w14:textId="77777777" w:rsidR="00C95B0E" w:rsidRDefault="00C95B0E" w:rsidP="00C95B0E">
      <w:pPr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отчетном периоде субсидировалась одна жилищно-коммунальная услуга -теплоснабжение. </w:t>
      </w:r>
    </w:p>
    <w:p w14:paraId="186147D3" w14:textId="77777777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Затраты организации жилищно-коммунального хозяйства (далее -</w:t>
      </w:r>
      <w:r>
        <w:rPr>
          <w:color w:val="FF0000"/>
          <w:sz w:val="32"/>
          <w:szCs w:val="32"/>
        </w:rPr>
        <w:t xml:space="preserve"> </w:t>
      </w:r>
      <w:r>
        <w:rPr>
          <w:sz w:val="32"/>
          <w:szCs w:val="32"/>
        </w:rPr>
        <w:t>КПУП «</w:t>
      </w:r>
      <w:proofErr w:type="spellStart"/>
      <w:r>
        <w:rPr>
          <w:sz w:val="32"/>
          <w:szCs w:val="32"/>
        </w:rPr>
        <w:t>Лельком</w:t>
      </w:r>
      <w:proofErr w:type="spellEnd"/>
      <w:r>
        <w:rPr>
          <w:sz w:val="32"/>
          <w:szCs w:val="32"/>
        </w:rPr>
        <w:t>») по планово-расчетным ценам по содержанию жилищного фонда и оказанию жилищно-коммунальных услуг населению за 2025 г. составили 3 636 325,01 руб. и возмещены на 99,9 %, из них в разрезе источников:</w:t>
      </w:r>
    </w:p>
    <w:p w14:paraId="670D33E7" w14:textId="77777777" w:rsidR="00C95B0E" w:rsidRDefault="00C95B0E" w:rsidP="00C95B0E">
      <w:pPr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>возмещение затрат за счет выручки от населения 1 542 033,18 руб. или 42,4 %, перекрестного субсидирования 9 911,03 руб. или 0,3 %, доходов от аренды 6 848,10 руб. или 0,2 %, за счет бюджетных средств 2 074 463,17 руб. или 57,0 %.</w:t>
      </w:r>
    </w:p>
    <w:p w14:paraId="008D2559" w14:textId="77777777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Расходы на капитальный ремонт и текущий ремонт составили жилищного фонда при плане 1 869 085,05 руб. составили 1 833 308,82 руб. или 98,1 %. </w:t>
      </w:r>
    </w:p>
    <w:p w14:paraId="41DE878C" w14:textId="691EE164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Расходы на текущий ремонт кровель жилых домов, которые переданы из республиканского бюджета в виде субвенций исполнены на 112 700,00 руб. или 100,0 % (годовой план 112 700,00 руб.).</w:t>
      </w:r>
    </w:p>
    <w:p w14:paraId="1102D2E4" w14:textId="77777777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bookmarkStart w:id="2" w:name="_Hlk220597203"/>
      <w:r>
        <w:rPr>
          <w:sz w:val="32"/>
          <w:szCs w:val="32"/>
        </w:rPr>
        <w:t>Расходы бюджета на благоустройство населенных пунктов профинансированы в сумме 11 128 509,23 руб., что составляет 97,2 % от уточненных годовых назначений (11 452 260,92 руб.).</w:t>
      </w:r>
    </w:p>
    <w:p w14:paraId="34612947" w14:textId="77777777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составе расходов на благоустройство запланированы средства на ремонт улично-дорожной сети населенных пунктов в сумме 4 692 298,37 руб. и профинансированы в сумме 4 652 594,22 руб. или 99,2 % годового плана. </w:t>
      </w:r>
    </w:p>
    <w:p w14:paraId="0E796854" w14:textId="3C1859EB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Расходы на поддержание и восстановление санитарного и технического состояния придомовых территорий многоквартирных жилых домов профинансированы в сумме 658 644,31 руб., что составляет 100,0 % от плановых назначений. </w:t>
      </w:r>
    </w:p>
    <w:p w14:paraId="62A428B1" w14:textId="77777777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Расходы по наружному освещению населенных пунктов профинансированы в сумме 513 909,66 руб., что составляет 99,3 % от годовых назначений (517 594,65 руб.).</w:t>
      </w:r>
    </w:p>
    <w:p w14:paraId="4EBA07C2" w14:textId="0D3E6BFC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Расходы по содержанию и обслуживанию мест погребения (кладбищ) профинансированы в сумме 157 454,00 руб. или 100,0 % от годовых назначений (157 454,00 руб.).</w:t>
      </w:r>
    </w:p>
    <w:p w14:paraId="51C8882C" w14:textId="77777777" w:rsidR="00C95B0E" w:rsidRDefault="00C95B0E" w:rsidP="00C95B0E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Субвенции, передаваемые в текущем году из республиканского бюджета на текущий ремонт улично-дорожной сети, профинансированы в сумме 999 402,11 руб. или 99,9 % годового плана (1 000 000,00 руб.).</w:t>
      </w:r>
    </w:p>
    <w:bookmarkEnd w:id="2"/>
    <w:p w14:paraId="151CF301" w14:textId="08F87C9B" w:rsidR="00C95B0E" w:rsidRDefault="00C95B0E" w:rsidP="00C95B0E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Долга органов местного управления и самоуправления по состоянию на 01.01.2026 не имеется. Долг, гарантированный местными исполнительными и распорядительными органами, составляет 10 972,21 руб.</w:t>
      </w:r>
    </w:p>
    <w:p w14:paraId="3FD0FB0F" w14:textId="4F3C437E" w:rsidR="00895469" w:rsidRDefault="00895469" w:rsidP="00C95B0E">
      <w:pPr>
        <w:ind w:firstLine="708"/>
        <w:jc w:val="both"/>
        <w:rPr>
          <w:sz w:val="32"/>
          <w:szCs w:val="32"/>
        </w:rPr>
      </w:pPr>
    </w:p>
    <w:p w14:paraId="55F618D5" w14:textId="77777777" w:rsidR="00895469" w:rsidRDefault="00895469" w:rsidP="00C95B0E">
      <w:pPr>
        <w:ind w:firstLine="708"/>
        <w:jc w:val="both"/>
        <w:rPr>
          <w:sz w:val="32"/>
          <w:szCs w:val="32"/>
        </w:rPr>
      </w:pPr>
    </w:p>
    <w:p w14:paraId="207337E8" w14:textId="77777777" w:rsidR="00895469" w:rsidRDefault="00C95B0E" w:rsidP="00895469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Одним из вопросов, находящихся на постоянном контроле местных финансовых органов, является наличие дебиторской и кредиторской задолженности по бюджету района.</w:t>
      </w:r>
      <w:r>
        <w:rPr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2BD49A6" wp14:editId="1B43833B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3665855" cy="2343150"/>
            <wp:effectExtent l="0" t="0" r="0" b="0"/>
            <wp:wrapTight wrapText="bothSides">
              <wp:wrapPolygon edited="0">
                <wp:start x="0" y="0"/>
                <wp:lineTo x="0" y="21424"/>
                <wp:lineTo x="21439" y="21424"/>
                <wp:lineTo x="21439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6585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5469">
        <w:rPr>
          <w:sz w:val="32"/>
          <w:szCs w:val="32"/>
        </w:rPr>
        <w:t xml:space="preserve"> </w:t>
      </w:r>
    </w:p>
    <w:p w14:paraId="1A14EECC" w14:textId="77777777" w:rsidR="00895469" w:rsidRDefault="00895469" w:rsidP="00895469">
      <w:pPr>
        <w:ind w:firstLine="708"/>
        <w:jc w:val="both"/>
        <w:rPr>
          <w:sz w:val="32"/>
          <w:szCs w:val="32"/>
        </w:rPr>
      </w:pPr>
    </w:p>
    <w:p w14:paraId="0AFC98DB" w14:textId="7F347261" w:rsidR="00C95B0E" w:rsidRPr="00895469" w:rsidRDefault="00895469" w:rsidP="00895469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Д</w:t>
      </w:r>
      <w:r w:rsidR="00C95B0E">
        <w:rPr>
          <w:sz w:val="32"/>
          <w:szCs w:val="32"/>
          <w:lang w:val="be-BY"/>
        </w:rPr>
        <w:t xml:space="preserve">ебиторская задолженность по бюджету Лельчицкого района по состоянию на 01.01.2026 составила </w:t>
      </w:r>
      <w:r w:rsidR="00C95B0E">
        <w:rPr>
          <w:sz w:val="32"/>
          <w:szCs w:val="32"/>
        </w:rPr>
        <w:t>992 421,24 руб., из них ст. 100200 «Взносы (отчисления) на социальное страхование» 13 922,05 руб., ст. 101005 «Оплата текущего содержания сооружений благоустройства» 3 972,64 руб., ст. 400200 «Капитальное строительство» 974 526,55 руб.</w:t>
      </w:r>
    </w:p>
    <w:p w14:paraId="1780B4F2" w14:textId="77777777" w:rsidR="00C95B0E" w:rsidRDefault="00C95B0E" w:rsidP="00C95B0E">
      <w:pPr>
        <w:ind w:firstLine="708"/>
        <w:jc w:val="both"/>
        <w:rPr>
          <w:sz w:val="32"/>
          <w:szCs w:val="32"/>
          <w:lang w:val="be-BY"/>
        </w:rPr>
      </w:pPr>
      <w:r>
        <w:rPr>
          <w:sz w:val="32"/>
          <w:szCs w:val="32"/>
          <w:lang w:val="be-BY"/>
        </w:rPr>
        <w:t xml:space="preserve">Кредиторской задолженности по бюджету Лельчицкого района по состоянию на 01.01.2026 не имеется. </w:t>
      </w:r>
    </w:p>
    <w:p w14:paraId="14D46DF8" w14:textId="77777777" w:rsidR="00592F4A" w:rsidRPr="00C95B0E" w:rsidRDefault="00592F4A">
      <w:pPr>
        <w:rPr>
          <w:lang w:val="be-BY"/>
        </w:rPr>
      </w:pPr>
    </w:p>
    <w:sectPr w:rsidR="00592F4A" w:rsidRPr="00C95B0E" w:rsidSect="0089546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854"/>
    <w:rsid w:val="00252D61"/>
    <w:rsid w:val="00267EBC"/>
    <w:rsid w:val="002D081E"/>
    <w:rsid w:val="00592F4A"/>
    <w:rsid w:val="0059578F"/>
    <w:rsid w:val="00895469"/>
    <w:rsid w:val="008A1A7C"/>
    <w:rsid w:val="008B6854"/>
    <w:rsid w:val="00B265A6"/>
    <w:rsid w:val="00C95B0E"/>
    <w:rsid w:val="00D42998"/>
    <w:rsid w:val="00EA4A8D"/>
    <w:rsid w:val="00F4702F"/>
    <w:rsid w:val="00FA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AD13"/>
  <w15:chartTrackingRefBased/>
  <w15:docId w15:val="{59960A6E-12D4-4BC1-A159-810BF605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5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7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Полуянова</dc:creator>
  <cp:keywords/>
  <dc:description/>
  <cp:lastModifiedBy>Данилейко Елена Николаевна</cp:lastModifiedBy>
  <cp:revision>9</cp:revision>
  <dcterms:created xsi:type="dcterms:W3CDTF">2026-02-23T09:49:00Z</dcterms:created>
  <dcterms:modified xsi:type="dcterms:W3CDTF">2026-03-27T09:22:00Z</dcterms:modified>
</cp:coreProperties>
</file>