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073B8" w14:textId="40A232D7" w:rsidR="006C7A42" w:rsidRPr="006C7A42" w:rsidRDefault="006C7A42" w:rsidP="006C7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45F6EC8F" w14:textId="4F8B5F5A" w:rsidR="006C7A42" w:rsidRPr="006C7A42" w:rsidRDefault="006C7A42" w:rsidP="006C7A4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Об исполнени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бюджета Лельчицкого района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за 1 квартал 2023 года</w:t>
      </w:r>
    </w:p>
    <w:bookmarkEnd w:id="0"/>
    <w:p w14:paraId="2CDDFC39" w14:textId="7E3207B2" w:rsidR="006C7A42" w:rsidRPr="006C7A42" w:rsidRDefault="00400F2D" w:rsidP="006C7A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01F32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5646E089" wp14:editId="577DF799">
            <wp:simplePos x="0" y="0"/>
            <wp:positionH relativeFrom="column">
              <wp:posOffset>-3810</wp:posOffset>
            </wp:positionH>
            <wp:positionV relativeFrom="paragraph">
              <wp:posOffset>135255</wp:posOffset>
            </wp:positionV>
            <wp:extent cx="245745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33" y="21343"/>
                <wp:lineTo x="2143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1DB1D" w14:textId="36BFFBF7" w:rsidR="006C7A42" w:rsidRPr="006C7A42" w:rsidRDefault="0002744D" w:rsidP="006C7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территории Лельчицкого района за 1 квартал 2023 года привлечено 5 591,8 тыс. руб. налогов, сборов, пошлин, в том числе в республиканский бюджет – 95,8 тыс. руб. или 1,7% общей суммы поступлений, в областной бюджет – 663,9 тыс. руб. или 11,9%, в районный бюджет – 4 716,6 тыс. руб. или 84,3%, в бюджеты сельских советов – 115,5 тыс. руб. или 2,1%. </w:t>
      </w:r>
    </w:p>
    <w:p w14:paraId="3EA1699D" w14:textId="5D57D3A4" w:rsidR="006C7A42" w:rsidRPr="006C7A42" w:rsidRDefault="00400F2D" w:rsidP="006C7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6D0F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3D1904D3" wp14:editId="14182B37">
            <wp:simplePos x="0" y="0"/>
            <wp:positionH relativeFrom="column">
              <wp:posOffset>3072765</wp:posOffset>
            </wp:positionH>
            <wp:positionV relativeFrom="paragraph">
              <wp:posOffset>556260</wp:posOffset>
            </wp:positionV>
            <wp:extent cx="2819400" cy="17907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Поступления в консолидированный бюджет от государственного сектора экономики составили 75,6%, от негосударственного сектора – 24,4%.</w:t>
      </w:r>
    </w:p>
    <w:p w14:paraId="515D771D" w14:textId="1348725B" w:rsidR="006C7A42" w:rsidRPr="006C7A42" w:rsidRDefault="0002744D" w:rsidP="001A0F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Собственная доходная база бюджета района на 89,6% сформирована за счет поступлений подоходного налога с физических лиц, налогов на собственность, налогов на товары (работы, услуг).</w:t>
      </w:r>
    </w:p>
    <w:p w14:paraId="56748DA1" w14:textId="6B523FEB" w:rsidR="006C7A42" w:rsidRDefault="006C7A42" w:rsidP="006C7A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D6B1ADF" w14:textId="77777777" w:rsidR="001A0F14" w:rsidRPr="006C7A42" w:rsidRDefault="001A0F14" w:rsidP="006C7A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06A35B9" w14:textId="77777777" w:rsidR="006C7A42" w:rsidRPr="000B1387" w:rsidRDefault="006C7A42" w:rsidP="006C7A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итогам 1 квартала 2023 года совокупный доход консолидированного бюджета района, т.е. один из показателей плана развития Лельчицкого района, выполнен на 108,6% при задании 100,5% </w:t>
      </w:r>
      <w:r w:rsidRPr="000B13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к уровню 1 квартала 2022 года.</w:t>
      </w:r>
    </w:p>
    <w:p w14:paraId="1D5478BA" w14:textId="77777777" w:rsidR="001A0F14" w:rsidRDefault="006C7A42" w:rsidP="006C7A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По-прежнему самым стабильным и эффективным доходным источником является подоходный налог с физических лиц, который поступил в район в сумме 2 189,8 тыс. руб. Темп роста по сравнению с аналогичным периодом 2022 года составил 114,7%. Удельный вес в собственных доходах составил 45,3%. </w:t>
      </w:r>
    </w:p>
    <w:p w14:paraId="4A49EE15" w14:textId="77777777" w:rsidR="006C7A42" w:rsidRPr="006C7A42" w:rsidRDefault="006C7A42" w:rsidP="006C7A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За 1 квартал 2023 года в бюджет района поступило 450,3 тыс. руб. налогов на собственность, удельный вес которых в доходах бюджета составил 9,3%. По отношению к соответствующему периоду 2022 года поступления налогов увеличилось на 57,7 тыс. руб.</w:t>
      </w:r>
    </w:p>
    <w:p w14:paraId="4D225064" w14:textId="77777777" w:rsidR="006C7A42" w:rsidRPr="006C7A42" w:rsidRDefault="006C7A42" w:rsidP="006C7A42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Поступления налога на добавленную стоимость в бюджет района за отчетный период составили 1 100,4 тыс. руб., что на 81,3 тыс. руб. больше соответствующего периода 2022 года. Исполнение к годовому плану 25,0%, к отчетному периоду – 100,0%.</w:t>
      </w:r>
    </w:p>
    <w:p w14:paraId="0889E17D" w14:textId="7E3E9D1E" w:rsidR="006C7A42" w:rsidRDefault="006C7A42" w:rsidP="006C7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За 1 квартал 2023 года в районный бюджет п</w:t>
      </w:r>
      <w:r w:rsidR="001A0F14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оступило</w:t>
      </w: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481,4 тыс. руб. неналоговых доходов, их удельный вес в структуре доходной части бюджета района составил 10,0% что на 61,0 тыс. руб. выше уровня 1 квартала 2022 года.</w:t>
      </w:r>
    </w:p>
    <w:p w14:paraId="431E7452" w14:textId="040FB9F3" w:rsidR="00231912" w:rsidRDefault="00231912" w:rsidP="006C7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 бюджет района поступило 10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555,9 тыс.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руб. безвозмездных поступлений из вышестоящих бюджетов.</w:t>
      </w:r>
    </w:p>
    <w:p w14:paraId="41687F20" w14:textId="2198F585" w:rsidR="00231912" w:rsidRPr="006C7A42" w:rsidRDefault="00231912" w:rsidP="0023191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1912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4384" behindDoc="0" locked="0" layoutInCell="1" allowOverlap="1" wp14:anchorId="6A9101A9" wp14:editId="39F09B86">
            <wp:simplePos x="0" y="0"/>
            <wp:positionH relativeFrom="column">
              <wp:posOffset>2472690</wp:posOffset>
            </wp:positionH>
            <wp:positionV relativeFrom="paragraph">
              <wp:posOffset>1905</wp:posOffset>
            </wp:positionV>
            <wp:extent cx="3371850" cy="245745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Всего доходы бюджета Лельчицкого района составили 15388,0 тыс.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руб. В структуре доходов собственные составляют 31,4%, безвозмездные поступления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68,6%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B2EF23F" w14:textId="77777777" w:rsidR="00231912" w:rsidRDefault="00231912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B7C6684" w14:textId="77777777" w:rsidR="00231912" w:rsidRDefault="00231912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36D15DB" w14:textId="77777777" w:rsidR="00231912" w:rsidRDefault="00231912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D9C1A0D" w14:textId="77777777" w:rsidR="00231912" w:rsidRDefault="00231912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FB83A2A" w14:textId="30EB9610" w:rsidR="006C7A42" w:rsidRPr="006C7A42" w:rsidRDefault="00231912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0F14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0288" behindDoc="0" locked="0" layoutInCell="1" allowOverlap="1" wp14:anchorId="4E711C0E" wp14:editId="3AB671F5">
            <wp:simplePos x="0" y="0"/>
            <wp:positionH relativeFrom="column">
              <wp:posOffset>-241935</wp:posOffset>
            </wp:positionH>
            <wp:positionV relativeFrom="paragraph">
              <wp:posOffset>134620</wp:posOffset>
            </wp:positionV>
            <wp:extent cx="2714625" cy="196215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Расходы консолидированного бюджета района произведены в пределах поступивших в бюджет доходов и составили</w:t>
      </w:r>
      <w:r w:rsidR="006C7A42" w:rsidRPr="006C7A42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 </w:t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15 799,1 тыс. руб.</w:t>
      </w:r>
    </w:p>
    <w:p w14:paraId="2D309742" w14:textId="0B2C6856" w:rsidR="006C7A42" w:rsidRPr="006C7A42" w:rsidRDefault="0002744D" w:rsidP="001A0F14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1A0F14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дельный вес расходов на заработную плату с начислениями составляет – 68,6%, на текущие бюджетные трансферты – 10,7%, на коммунальные услуги – 8,4%, на лекарственные средства и продукты питания – 4,1%. </w:t>
      </w:r>
    </w:p>
    <w:p w14:paraId="3C27972B" w14:textId="682FE240" w:rsidR="006C7A42" w:rsidRDefault="00231912" w:rsidP="0023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2744D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1312" behindDoc="1" locked="0" layoutInCell="1" allowOverlap="1" wp14:anchorId="46A4340F" wp14:editId="7362FC36">
            <wp:simplePos x="0" y="0"/>
            <wp:positionH relativeFrom="column">
              <wp:posOffset>3025140</wp:posOffset>
            </wp:positionH>
            <wp:positionV relativeFrom="paragraph">
              <wp:posOffset>135255</wp:posOffset>
            </wp:positionV>
            <wp:extent cx="2962275" cy="2106295"/>
            <wp:effectExtent l="0" t="0" r="9525" b="8255"/>
            <wp:wrapTight wrapText="bothSides">
              <wp:wrapPolygon edited="0">
                <wp:start x="0" y="0"/>
                <wp:lineTo x="0" y="21489"/>
                <wp:lineTo x="21531" y="21489"/>
                <wp:lineTo x="2153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44D">
        <w:rPr>
          <w:rFonts w:ascii="Times New Roman" w:eastAsia="Times New Roman" w:hAnsi="Times New Roman" w:cs="Times New Roman"/>
          <w:sz w:val="30"/>
          <w:szCs w:val="30"/>
          <w:lang w:eastAsia="ru-RU"/>
        </w:rPr>
        <w:t>Б</w:t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юджет Лельчицкого района сохранил свою социальную направленность. Расходы на социальную сферу составляют 12 731,4 тыс. руб. или 80,6% от общей суммы расходов.</w:t>
      </w:r>
    </w:p>
    <w:p w14:paraId="657B2281" w14:textId="11DAE0E0" w:rsidR="0002744D" w:rsidRDefault="0002744D" w:rsidP="0002744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Наибольший удельный вес в отчетном периоде занимают расходы на содержание отрасли «Образование» - 43,5% и отр</w:t>
      </w:r>
      <w:r w:rsidR="00231912">
        <w:rPr>
          <w:rFonts w:ascii="Times New Roman" w:eastAsia="Times New Roman" w:hAnsi="Times New Roman" w:cs="Times New Roman"/>
          <w:sz w:val="30"/>
          <w:szCs w:val="30"/>
          <w:lang w:eastAsia="ru-RU"/>
        </w:rPr>
        <w:t>асли «Здравоохранение»-23,2%.</w:t>
      </w:r>
    </w:p>
    <w:p w14:paraId="415A5AD1" w14:textId="14F19F02" w:rsidR="006C7A42" w:rsidRPr="006C7A42" w:rsidRDefault="00231912" w:rsidP="0002744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2744D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2336" behindDoc="0" locked="0" layoutInCell="1" allowOverlap="1" wp14:anchorId="0E477C50" wp14:editId="1B31CA46">
            <wp:simplePos x="0" y="0"/>
            <wp:positionH relativeFrom="column">
              <wp:posOffset>-89535</wp:posOffset>
            </wp:positionH>
            <wp:positionV relativeFrom="paragraph">
              <wp:posOffset>19685</wp:posOffset>
            </wp:positionV>
            <wp:extent cx="3676650" cy="20764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44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6C7A42"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Расходы по национальной экономике за 1 квартал 2023 года сложились в сумме 824,4 тыс. руб</w:t>
      </w:r>
      <w:r w:rsidR="0002744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4F41FD1" w14:textId="77777777" w:rsidR="0002744D" w:rsidRDefault="0002744D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D4E8BAA" w14:textId="77777777" w:rsidR="0002744D" w:rsidRDefault="0002744D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CEE2647" w14:textId="77777777" w:rsidR="0002744D" w:rsidRDefault="0002744D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53F1541" w14:textId="77777777" w:rsidR="0002744D" w:rsidRDefault="0002744D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6054B7F" w14:textId="04BB4461" w:rsidR="0002744D" w:rsidRDefault="0002744D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A773431" w14:textId="1EE7457F" w:rsidR="0002744D" w:rsidRDefault="00400F2D" w:rsidP="00400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506EB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3360" behindDoc="0" locked="0" layoutInCell="1" allowOverlap="1" wp14:anchorId="36822205" wp14:editId="03D7FFC0">
            <wp:simplePos x="0" y="0"/>
            <wp:positionH relativeFrom="column">
              <wp:posOffset>3110230</wp:posOffset>
            </wp:positionH>
            <wp:positionV relativeFrom="paragraph">
              <wp:posOffset>164465</wp:posOffset>
            </wp:positionV>
            <wp:extent cx="3162300" cy="237172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4353">
        <w:rPr>
          <w:rFonts w:ascii="Times New Roman" w:eastAsia="Times New Roman" w:hAnsi="Times New Roman" w:cs="Times New Roman"/>
          <w:sz w:val="30"/>
          <w:szCs w:val="30"/>
          <w:lang w:eastAsia="ru-RU"/>
        </w:rPr>
        <w:t>В бюджете района предусмотрены сре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дства на финансирование отрасли «Жилищно-коммунальное хозяйство и жилищное строительство» в сумме 3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217,7 тыс.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руб. В первом квартале текущего года расходы составили 804,7 тыс.</w:t>
      </w:r>
      <w:r w:rsidR="000B13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руб., в том числе финансирование государственной программы «Комфортное жилье и благоприятная среда на 2021-2025</w:t>
      </w:r>
      <w:r w:rsidR="001D43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г.г.»</w:t>
      </w:r>
      <w:r w:rsidR="001D43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1D43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801,0 тыс.</w:t>
      </w:r>
      <w:r w:rsidR="001D43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руб.</w:t>
      </w:r>
    </w:p>
    <w:p w14:paraId="7CFEE45D" w14:textId="3B96243A" w:rsidR="006C7A42" w:rsidRPr="006C7A42" w:rsidRDefault="006C7A42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Долга органов местного управления и самоуправления по состоянию на 1 апреля 2023</w:t>
      </w:r>
      <w:r w:rsidR="001D43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D61BD">
        <w:rPr>
          <w:rFonts w:ascii="Times New Roman" w:eastAsia="Times New Roman" w:hAnsi="Times New Roman" w:cs="Times New Roman"/>
          <w:sz w:val="30"/>
          <w:szCs w:val="30"/>
          <w:lang w:eastAsia="ru-RU"/>
        </w:rPr>
        <w:t>г.</w:t>
      </w: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имеется. Долг, гарантированный местными исполнительными и распорядительными органами, на отчетную дату составляет 13,3 тыс. руб</w:t>
      </w:r>
      <w:r w:rsidR="006D61B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E5A4C98" w14:textId="3EDA66EA" w:rsidR="00400F2D" w:rsidRDefault="006C7A42" w:rsidP="006C7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Дебиторская задолженность по бюджету Лельчицкого района по состоянию на</w:t>
      </w:r>
      <w:r w:rsidR="006D61B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Pr="006C7A42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1 апреля 2023 г</w:t>
      </w:r>
      <w:r w:rsidR="006D61B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.</w:t>
      </w:r>
      <w:r w:rsidRPr="006C7A42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составила </w:t>
      </w: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69,0 тыс. руб</w:t>
      </w:r>
      <w:r w:rsidR="00400F2D">
        <w:rPr>
          <w:rFonts w:ascii="Times New Roman" w:eastAsia="Times New Roman" w:hAnsi="Times New Roman" w:cs="Times New Roman"/>
          <w:sz w:val="30"/>
          <w:szCs w:val="30"/>
          <w:lang w:eastAsia="ru-RU"/>
        </w:rPr>
        <w:t>., к</w:t>
      </w:r>
      <w:r w:rsidRPr="006C7A42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редиторская задолженность </w:t>
      </w:r>
      <w:r w:rsidR="00400F2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</w:t>
      </w:r>
      <w:r w:rsidRPr="006C7A42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60,6 тыс.</w:t>
      </w:r>
      <w:r w:rsidR="006D61B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Pr="006C7A42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руб.</w:t>
      </w:r>
      <w:r w:rsidR="00400F2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и обеспечена бюджетными ассигнованиями.</w:t>
      </w:r>
    </w:p>
    <w:p w14:paraId="57DF33D9" w14:textId="77777777" w:rsidR="006C7A42" w:rsidRPr="006C7A42" w:rsidRDefault="006C7A42" w:rsidP="006C7A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8D5006C" w14:textId="77777777" w:rsidR="006C7A42" w:rsidRPr="006C7A42" w:rsidRDefault="006C7A42" w:rsidP="006C7A4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Зам. начальника финансового отдела </w:t>
      </w:r>
    </w:p>
    <w:p w14:paraId="0E7DFAFD" w14:textId="77777777" w:rsidR="006C7A42" w:rsidRPr="006C7A42" w:rsidRDefault="006C7A42" w:rsidP="006C7A4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7A42">
        <w:rPr>
          <w:rFonts w:ascii="Times New Roman" w:eastAsia="Times New Roman" w:hAnsi="Times New Roman" w:cs="Times New Roman"/>
          <w:sz w:val="30"/>
          <w:szCs w:val="30"/>
          <w:lang w:eastAsia="ru-RU"/>
        </w:rPr>
        <w:t>Лельчицкого райисполкома                                                   Е.Н.Данилейко</w:t>
      </w:r>
    </w:p>
    <w:p w14:paraId="121287E4" w14:textId="77777777" w:rsidR="006C7A42" w:rsidRPr="006C7A42" w:rsidRDefault="006C7A42" w:rsidP="006C7A4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6C7A42" w:rsidRPr="006C7A42" w:rsidSect="006C7A4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5E5"/>
    <w:rsid w:val="0002744D"/>
    <w:rsid w:val="000B1387"/>
    <w:rsid w:val="001A0F14"/>
    <w:rsid w:val="001D43AE"/>
    <w:rsid w:val="00231912"/>
    <w:rsid w:val="002506EB"/>
    <w:rsid w:val="00252D61"/>
    <w:rsid w:val="00301F32"/>
    <w:rsid w:val="003555E5"/>
    <w:rsid w:val="00400F2D"/>
    <w:rsid w:val="00564AD8"/>
    <w:rsid w:val="00592F4A"/>
    <w:rsid w:val="0059578F"/>
    <w:rsid w:val="006C7A42"/>
    <w:rsid w:val="006D61BD"/>
    <w:rsid w:val="008C4353"/>
    <w:rsid w:val="00F4702F"/>
    <w:rsid w:val="00F6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0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4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Полуянова</dc:creator>
  <cp:lastModifiedBy>Ghost</cp:lastModifiedBy>
  <cp:revision>2</cp:revision>
  <dcterms:created xsi:type="dcterms:W3CDTF">2023-05-15T09:35:00Z</dcterms:created>
  <dcterms:modified xsi:type="dcterms:W3CDTF">2023-05-15T09:35:00Z</dcterms:modified>
</cp:coreProperties>
</file>